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D9" w:rsidRPr="0019287B" w:rsidRDefault="000E04D9" w:rsidP="000E04D9">
      <w:pPr>
        <w:jc w:val="center"/>
        <w:rPr>
          <w:rFonts w:ascii="Tahoma" w:hAnsi="Tahoma" w:cs="Tahoma"/>
          <w:b/>
          <w:bCs/>
          <w:caps/>
          <w:sz w:val="18"/>
          <w:szCs w:val="18"/>
          <w:lang w:val="el-GR"/>
        </w:rPr>
      </w:pPr>
      <w:r w:rsidRPr="0019287B">
        <w:rPr>
          <w:rFonts w:ascii="Tahoma" w:hAnsi="Tahoma" w:cs="Tahoma"/>
          <w:b/>
          <w:bCs/>
          <w:caps/>
          <w:sz w:val="18"/>
          <w:szCs w:val="18"/>
          <w:lang w:val="el-GR"/>
        </w:rPr>
        <w:t>περιγραμματα θεσεων εργασιασ για τις ευδ των πεπ 2014-2020</w:t>
      </w:r>
    </w:p>
    <w:p w:rsidR="00113F00" w:rsidRPr="0019287B" w:rsidRDefault="00113F00" w:rsidP="009A2588">
      <w:pPr>
        <w:spacing w:line="360" w:lineRule="auto"/>
        <w:jc w:val="both"/>
        <w:rPr>
          <w:rFonts w:ascii="Tahoma" w:hAnsi="Tahoma" w:cs="Tahoma"/>
          <w:sz w:val="18"/>
          <w:szCs w:val="18"/>
          <w:lang w:val="el-GR"/>
        </w:rPr>
      </w:pPr>
    </w:p>
    <w:tbl>
      <w:tblPr>
        <w:tblStyle w:val="10"/>
        <w:tblW w:w="10840" w:type="dxa"/>
        <w:tblInd w:w="-9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4952"/>
        <w:gridCol w:w="1092"/>
        <w:gridCol w:w="2178"/>
        <w:gridCol w:w="1822"/>
      </w:tblGrid>
      <w:tr w:rsidR="000D0065" w:rsidRPr="0019287B" w:rsidTr="00AA19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5"/>
        </w:trPr>
        <w:tc>
          <w:tcPr>
            <w:tcW w:w="796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>Α/Α</w:t>
            </w:r>
          </w:p>
        </w:tc>
        <w:tc>
          <w:tcPr>
            <w:tcW w:w="4952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>ΤΙΤΛΟΣ ΘΕΣΗΣ</w:t>
            </w:r>
          </w:p>
        </w:tc>
        <w:tc>
          <w:tcPr>
            <w:tcW w:w="1092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κωδικοσ</w:t>
            </w:r>
          </w:p>
        </w:tc>
        <w:tc>
          <w:tcPr>
            <w:tcW w:w="2178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>μοναδα</w:t>
            </w:r>
          </w:p>
        </w:tc>
        <w:tc>
          <w:tcPr>
            <w:tcW w:w="1822" w:type="dxa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ευαισθητη θεση  </w:t>
            </w:r>
          </w:p>
        </w:tc>
      </w:tr>
      <w:tr w:rsidR="000D0065" w:rsidRPr="0019287B" w:rsidTr="00AA1913">
        <w:tc>
          <w:tcPr>
            <w:tcW w:w="796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1</w:t>
            </w:r>
          </w:p>
        </w:tc>
        <w:tc>
          <w:tcPr>
            <w:tcW w:w="4952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ind w:left="5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Προϊστάμενος Ειδικής Υπηρεσίας ΠΕΠ </w:t>
            </w:r>
          </w:p>
        </w:tc>
        <w:tc>
          <w:tcPr>
            <w:tcW w:w="1092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1</w:t>
            </w:r>
          </w:p>
        </w:tc>
        <w:tc>
          <w:tcPr>
            <w:tcW w:w="2178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-----------</w:t>
            </w:r>
          </w:p>
        </w:tc>
        <w:tc>
          <w:tcPr>
            <w:tcW w:w="1822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0D0065" w:rsidRPr="0019287B" w:rsidTr="00AA1913">
        <w:tc>
          <w:tcPr>
            <w:tcW w:w="796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2</w:t>
            </w:r>
          </w:p>
        </w:tc>
        <w:tc>
          <w:tcPr>
            <w:tcW w:w="4952" w:type="dxa"/>
            <w:vAlign w:val="center"/>
          </w:tcPr>
          <w:p w:rsidR="000D0065" w:rsidRPr="00AA1913" w:rsidRDefault="000D0065" w:rsidP="00AA1913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Προϊστάμενος Μονάδας Α </w:t>
            </w:r>
          </w:p>
        </w:tc>
        <w:tc>
          <w:tcPr>
            <w:tcW w:w="1092" w:type="dxa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2α</w:t>
            </w:r>
          </w:p>
        </w:tc>
        <w:tc>
          <w:tcPr>
            <w:tcW w:w="2178" w:type="dxa"/>
            <w:vMerge w:val="restart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>Α</w:t>
            </w:r>
          </w:p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Προγραμματισμού και Αξιολόγησης </w:t>
            </w:r>
          </w:p>
          <w:p w:rsidR="000D0065" w:rsidRPr="00AA1913" w:rsidRDefault="000D0065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0D0065" w:rsidRPr="0019287B" w:rsidTr="00AA1913">
        <w:tc>
          <w:tcPr>
            <w:tcW w:w="796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</w:t>
            </w:r>
          </w:p>
        </w:tc>
        <w:tc>
          <w:tcPr>
            <w:tcW w:w="4952" w:type="dxa"/>
            <w:vAlign w:val="center"/>
          </w:tcPr>
          <w:p w:rsidR="000D0065" w:rsidRPr="00AA1913" w:rsidRDefault="00AA1913" w:rsidP="00AA1913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Στέλεχος Σ</w:t>
            </w:r>
            <w:r w:rsidR="000D0065"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χεδιασμού και </w:t>
            </w:r>
            <w:r>
              <w:rPr>
                <w:rFonts w:ascii="Tahoma" w:hAnsi="Tahoma" w:cs="Tahoma"/>
                <w:sz w:val="18"/>
                <w:szCs w:val="18"/>
                <w:lang w:val="el-GR"/>
              </w:rPr>
              <w:t>Α</w:t>
            </w:r>
            <w:r w:rsidR="000D0065" w:rsidRPr="00AA1913">
              <w:rPr>
                <w:rFonts w:ascii="Tahoma" w:hAnsi="Tahoma" w:cs="Tahoma"/>
                <w:sz w:val="18"/>
                <w:szCs w:val="18"/>
                <w:lang w:val="el-GR"/>
              </w:rPr>
              <w:t>ξιολόγησης Προγράμματος</w:t>
            </w:r>
          </w:p>
        </w:tc>
        <w:tc>
          <w:tcPr>
            <w:tcW w:w="1092" w:type="dxa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3α1</w:t>
            </w:r>
          </w:p>
        </w:tc>
        <w:tc>
          <w:tcPr>
            <w:tcW w:w="2178" w:type="dxa"/>
            <w:vMerge/>
            <w:vAlign w:val="center"/>
          </w:tcPr>
          <w:p w:rsidR="000D0065" w:rsidRPr="00AA1913" w:rsidRDefault="000D0065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0D0065" w:rsidRPr="00AA1913" w:rsidRDefault="000D0065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0D0065" w:rsidRPr="0019287B" w:rsidTr="00AA1913">
        <w:tc>
          <w:tcPr>
            <w:tcW w:w="796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4</w:t>
            </w:r>
          </w:p>
        </w:tc>
        <w:tc>
          <w:tcPr>
            <w:tcW w:w="4952" w:type="dxa"/>
            <w:vAlign w:val="center"/>
          </w:tcPr>
          <w:p w:rsidR="000D0065" w:rsidRPr="00AA1913" w:rsidRDefault="000D0065" w:rsidP="00AA1913">
            <w:pPr>
              <w:spacing w:before="60" w:after="60" w:line="300" w:lineRule="atLeas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Υπεύθυνος </w:t>
            </w:r>
            <w:r w:rsidR="00AA1913">
              <w:rPr>
                <w:rFonts w:ascii="Tahoma" w:hAnsi="Tahoma" w:cs="Tahoma"/>
                <w:sz w:val="18"/>
                <w:szCs w:val="18"/>
                <w:lang w:val="el-GR"/>
              </w:rPr>
              <w:t>Πληροφόρησης &amp;</w:t>
            </w: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 Επικοινωνίας (Δημοσιότητας)</w:t>
            </w:r>
          </w:p>
        </w:tc>
        <w:tc>
          <w:tcPr>
            <w:tcW w:w="1092" w:type="dxa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3α2</w:t>
            </w:r>
          </w:p>
        </w:tc>
        <w:tc>
          <w:tcPr>
            <w:tcW w:w="2178" w:type="dxa"/>
            <w:vMerge/>
            <w:vAlign w:val="center"/>
          </w:tcPr>
          <w:p w:rsidR="000D0065" w:rsidRPr="00AA1913" w:rsidRDefault="000D0065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0D0065" w:rsidRPr="00AA1913" w:rsidRDefault="000D0065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0065" w:rsidRPr="0019287B" w:rsidTr="00AA1913">
        <w:tc>
          <w:tcPr>
            <w:tcW w:w="796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5</w:t>
            </w:r>
          </w:p>
        </w:tc>
        <w:tc>
          <w:tcPr>
            <w:tcW w:w="4952" w:type="dxa"/>
            <w:vAlign w:val="center"/>
          </w:tcPr>
          <w:p w:rsidR="000D0065" w:rsidRPr="00AA1913" w:rsidRDefault="00AA1913" w:rsidP="00AA1913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 xml:space="preserve">Στέλεχος Παρακολούθησης </w:t>
            </w:r>
            <w:r w:rsidR="000D0065" w:rsidRPr="00AA1913">
              <w:rPr>
                <w:rFonts w:ascii="Tahoma" w:hAnsi="Tahoma" w:cs="Tahoma"/>
                <w:sz w:val="18"/>
                <w:szCs w:val="18"/>
                <w:lang w:val="el-GR"/>
              </w:rPr>
              <w:t>Προγράμματος</w:t>
            </w:r>
          </w:p>
        </w:tc>
        <w:tc>
          <w:tcPr>
            <w:tcW w:w="1092" w:type="dxa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3α3</w:t>
            </w:r>
          </w:p>
        </w:tc>
        <w:tc>
          <w:tcPr>
            <w:tcW w:w="2178" w:type="dxa"/>
            <w:vMerge/>
            <w:vAlign w:val="center"/>
          </w:tcPr>
          <w:p w:rsidR="000D0065" w:rsidRPr="00AA1913" w:rsidRDefault="000D0065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0D0065" w:rsidRPr="00AA1913" w:rsidRDefault="000D0065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0065" w:rsidRPr="0019287B" w:rsidTr="00AA1913">
        <w:tc>
          <w:tcPr>
            <w:tcW w:w="796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6</w:t>
            </w:r>
          </w:p>
        </w:tc>
        <w:tc>
          <w:tcPr>
            <w:tcW w:w="4952" w:type="dxa"/>
            <w:vAlign w:val="center"/>
          </w:tcPr>
          <w:p w:rsidR="000D0065" w:rsidRPr="00AA1913" w:rsidRDefault="00AA1913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Στέλεχος Αξιολόγησης και Ε</w:t>
            </w:r>
            <w:r w:rsidR="000D0065"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πιλογής Πράξεων </w:t>
            </w:r>
          </w:p>
        </w:tc>
        <w:tc>
          <w:tcPr>
            <w:tcW w:w="1092" w:type="dxa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3α4</w:t>
            </w:r>
          </w:p>
        </w:tc>
        <w:tc>
          <w:tcPr>
            <w:tcW w:w="2178" w:type="dxa"/>
            <w:vMerge/>
            <w:vAlign w:val="center"/>
          </w:tcPr>
          <w:p w:rsidR="000D0065" w:rsidRPr="00AA1913" w:rsidRDefault="000D0065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0D0065" w:rsidRPr="00AA1913" w:rsidRDefault="000D0065" w:rsidP="0019287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AA1913" w:rsidRPr="00AA1913" w:rsidTr="00AA1913">
        <w:trPr>
          <w:trHeight w:val="401"/>
        </w:trPr>
        <w:tc>
          <w:tcPr>
            <w:tcW w:w="796" w:type="dxa"/>
            <w:vAlign w:val="center"/>
          </w:tcPr>
          <w:p w:rsidR="00AA1913" w:rsidRPr="00AA1913" w:rsidRDefault="00AA1913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7</w:t>
            </w:r>
          </w:p>
        </w:tc>
        <w:tc>
          <w:tcPr>
            <w:tcW w:w="4952" w:type="dxa"/>
            <w:vAlign w:val="center"/>
          </w:tcPr>
          <w:p w:rsidR="00AA1913" w:rsidRPr="00AA1913" w:rsidRDefault="00AA1913" w:rsidP="00AA1913">
            <w:pPr>
              <w:spacing w:before="60" w:after="60" w:line="300" w:lineRule="atLeast"/>
              <w:jc w:val="both"/>
              <w:rPr>
                <w:rFonts w:ascii="Tahoma" w:hAnsi="Tahoma" w:cs="Tahoma"/>
                <w:strike/>
                <w:sz w:val="18"/>
                <w:szCs w:val="18"/>
                <w:highlight w:val="yellow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Προϊστάμενος Μονάδας Β</w:t>
            </w:r>
          </w:p>
        </w:tc>
        <w:tc>
          <w:tcPr>
            <w:tcW w:w="1092" w:type="dxa"/>
            <w:vAlign w:val="center"/>
          </w:tcPr>
          <w:p w:rsidR="00AA1913" w:rsidRPr="00AA1913" w:rsidRDefault="00AA1913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2β</w:t>
            </w:r>
          </w:p>
        </w:tc>
        <w:tc>
          <w:tcPr>
            <w:tcW w:w="2178" w:type="dxa"/>
            <w:vMerge w:val="restart"/>
            <w:vAlign w:val="center"/>
          </w:tcPr>
          <w:p w:rsidR="00AA1913" w:rsidRPr="00AA1913" w:rsidRDefault="00AA1913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Β1 και Β2 </w:t>
            </w:r>
          </w:p>
          <w:p w:rsidR="00AA1913" w:rsidRPr="00AA1913" w:rsidRDefault="00AA1913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>Διαχείρισης Πράξεων</w:t>
            </w:r>
          </w:p>
        </w:tc>
        <w:tc>
          <w:tcPr>
            <w:tcW w:w="1822" w:type="dxa"/>
            <w:vAlign w:val="center"/>
          </w:tcPr>
          <w:p w:rsidR="00AA1913" w:rsidRPr="00AA1913" w:rsidRDefault="00AA1913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0D0065" w:rsidRPr="0019287B" w:rsidTr="00AA1913">
        <w:tc>
          <w:tcPr>
            <w:tcW w:w="796" w:type="dxa"/>
            <w:vAlign w:val="center"/>
          </w:tcPr>
          <w:p w:rsidR="000D0065" w:rsidRPr="00AA1913" w:rsidRDefault="00AA1913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8</w:t>
            </w:r>
          </w:p>
        </w:tc>
        <w:tc>
          <w:tcPr>
            <w:tcW w:w="4952" w:type="dxa"/>
            <w:vAlign w:val="center"/>
          </w:tcPr>
          <w:p w:rsidR="000D0065" w:rsidRPr="00AA1913" w:rsidRDefault="00AA1913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 xml:space="preserve">Στέλεχος </w:t>
            </w:r>
            <w:r w:rsidR="000D0065" w:rsidRPr="00AA1913">
              <w:rPr>
                <w:rFonts w:ascii="Tahoma" w:hAnsi="Tahoma" w:cs="Tahoma"/>
                <w:sz w:val="18"/>
                <w:szCs w:val="18"/>
                <w:lang w:val="el-GR"/>
              </w:rPr>
              <w:t>Παρακολούθησης Πράξεων</w:t>
            </w:r>
          </w:p>
        </w:tc>
        <w:tc>
          <w:tcPr>
            <w:tcW w:w="1092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3β</w:t>
            </w:r>
          </w:p>
        </w:tc>
        <w:tc>
          <w:tcPr>
            <w:tcW w:w="2178" w:type="dxa"/>
            <w:vMerge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0D0065" w:rsidRPr="00AA1913" w:rsidRDefault="000D0065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9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 xml:space="preserve">Προϊστάμενος </w:t>
            </w: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Μονάδας Γ 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Cs/>
                <w:sz w:val="18"/>
                <w:szCs w:val="18"/>
                <w:lang w:val="el-GR"/>
              </w:rPr>
              <w:t>2γ</w:t>
            </w:r>
          </w:p>
        </w:tc>
        <w:tc>
          <w:tcPr>
            <w:tcW w:w="2178" w:type="dxa"/>
            <w:vMerge w:val="restart"/>
            <w:vAlign w:val="center"/>
          </w:tcPr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>Γ</w:t>
            </w:r>
          </w:p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Οργάνωσης - Υποστήριξης </w:t>
            </w: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10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Υπεύθυνος ΟΠΣ και πληροφοριακών συστημάτων 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3γ1</w:t>
            </w:r>
          </w:p>
        </w:tc>
        <w:tc>
          <w:tcPr>
            <w:tcW w:w="2178" w:type="dxa"/>
            <w:vMerge/>
            <w:vAlign w:val="center"/>
          </w:tcPr>
          <w:p w:rsidR="00A61711" w:rsidRPr="00AA1913" w:rsidRDefault="00A61711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11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1D6CAC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Στέλεχος για </w:t>
            </w:r>
            <w:r>
              <w:rPr>
                <w:rFonts w:ascii="Tahoma" w:hAnsi="Tahoma" w:cs="Tahoma"/>
                <w:sz w:val="18"/>
                <w:szCs w:val="18"/>
                <w:lang w:val="el-GR"/>
              </w:rPr>
              <w:t>Θέματα Π</w:t>
            </w: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ροσωπικού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3γ2</w:t>
            </w:r>
          </w:p>
        </w:tc>
        <w:tc>
          <w:tcPr>
            <w:tcW w:w="2178" w:type="dxa"/>
            <w:vMerge/>
            <w:vAlign w:val="center"/>
          </w:tcPr>
          <w:p w:rsidR="00A61711" w:rsidRPr="00AA1913" w:rsidRDefault="00A61711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12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Στέλεχος Διοικητικής Υποστήριξης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3γ3</w:t>
            </w:r>
          </w:p>
        </w:tc>
        <w:tc>
          <w:tcPr>
            <w:tcW w:w="2178" w:type="dxa"/>
            <w:vMerge/>
            <w:vAlign w:val="center"/>
          </w:tcPr>
          <w:p w:rsidR="00A61711" w:rsidRPr="00AA1913" w:rsidRDefault="00A61711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13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Στέλεχος Τεχνικής Βοήθειας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3γ4</w:t>
            </w:r>
          </w:p>
        </w:tc>
        <w:tc>
          <w:tcPr>
            <w:tcW w:w="2178" w:type="dxa"/>
            <w:vMerge/>
            <w:vAlign w:val="center"/>
          </w:tcPr>
          <w:p w:rsidR="00A61711" w:rsidRPr="00AA1913" w:rsidRDefault="00A61711" w:rsidP="0019287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A1913" w:rsidRDefault="00A61711" w:rsidP="00221E12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14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221E12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Υπεύθυνος Λογαριασμού</w:t>
            </w:r>
          </w:p>
        </w:tc>
        <w:tc>
          <w:tcPr>
            <w:tcW w:w="1092" w:type="dxa"/>
            <w:vAlign w:val="center"/>
          </w:tcPr>
          <w:p w:rsidR="00A61711" w:rsidRPr="00A61711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z w:val="18"/>
                <w:szCs w:val="18"/>
                <w:lang w:val="el-GR"/>
              </w:rPr>
              <w:t>γ5</w:t>
            </w:r>
          </w:p>
        </w:tc>
        <w:tc>
          <w:tcPr>
            <w:tcW w:w="2178" w:type="dxa"/>
            <w:vMerge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A61711" w:rsidRPr="0019287B" w:rsidTr="00A61711">
        <w:trPr>
          <w:trHeight w:val="375"/>
        </w:trPr>
        <w:tc>
          <w:tcPr>
            <w:tcW w:w="796" w:type="dxa"/>
            <w:vAlign w:val="center"/>
          </w:tcPr>
          <w:p w:rsidR="00A61711" w:rsidRPr="00AA1913" w:rsidRDefault="00A61711" w:rsidP="00D12DDC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15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D12DDC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Εισηγητής Εκκαθάρισης</w:t>
            </w: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3γ6</w:t>
            </w:r>
          </w:p>
        </w:tc>
        <w:tc>
          <w:tcPr>
            <w:tcW w:w="2178" w:type="dxa"/>
            <w:vMerge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sym w:font="Wingdings 2" w:char="F050"/>
            </w: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16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Υπεύθυνος για θέματα της απάτης  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A61711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>ο</w:t>
            </w:r>
            <w:r>
              <w:rPr>
                <w:rFonts w:ascii="Tahoma" w:hAnsi="Tahoma" w:cs="Tahoma"/>
                <w:sz w:val="18"/>
                <w:szCs w:val="18"/>
                <w:lang w:val="el-GR"/>
              </w:rPr>
              <w:t>1</w:t>
            </w:r>
          </w:p>
        </w:tc>
        <w:tc>
          <w:tcPr>
            <w:tcW w:w="2178" w:type="dxa"/>
            <w:vMerge w:val="restart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b/>
                <w:sz w:val="18"/>
                <w:szCs w:val="18"/>
                <w:lang w:val="el-GR"/>
              </w:rPr>
              <w:t>(Οριζόντιες θέσεις)</w:t>
            </w: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trike/>
                <w:sz w:val="18"/>
                <w:szCs w:val="18"/>
                <w:lang w:val="el-GR"/>
              </w:rPr>
            </w:pP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D45B9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D45B9">
              <w:rPr>
                <w:rFonts w:ascii="Tahoma" w:hAnsi="Tahoma" w:cs="Tahoma"/>
                <w:sz w:val="18"/>
                <w:szCs w:val="18"/>
                <w:lang w:val="el-GR"/>
              </w:rPr>
              <w:t>17</w:t>
            </w:r>
          </w:p>
        </w:tc>
        <w:tc>
          <w:tcPr>
            <w:tcW w:w="4952" w:type="dxa"/>
            <w:vAlign w:val="center"/>
          </w:tcPr>
          <w:p w:rsidR="00A61711" w:rsidRPr="00AD45B9" w:rsidRDefault="00A61711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D45B9">
              <w:rPr>
                <w:rFonts w:ascii="Tahoma" w:hAnsi="Tahoma" w:cs="Tahoma"/>
                <w:sz w:val="18"/>
                <w:szCs w:val="18"/>
                <w:lang w:val="el-GR"/>
              </w:rPr>
              <w:t xml:space="preserve">Υπεύθυνος διαχείρισης κινδύνων 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A61711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D45B9">
              <w:rPr>
                <w:rFonts w:ascii="Tahoma" w:hAnsi="Tahoma" w:cs="Tahoma"/>
                <w:sz w:val="18"/>
                <w:szCs w:val="18"/>
                <w:lang w:val="el-GR"/>
              </w:rPr>
              <w:t>ο2</w:t>
            </w:r>
          </w:p>
        </w:tc>
        <w:tc>
          <w:tcPr>
            <w:tcW w:w="2178" w:type="dxa"/>
            <w:vMerge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A61711" w:rsidRPr="0019287B" w:rsidTr="00AA1913">
        <w:tc>
          <w:tcPr>
            <w:tcW w:w="796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18</w:t>
            </w:r>
          </w:p>
        </w:tc>
        <w:tc>
          <w:tcPr>
            <w:tcW w:w="495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A1913">
              <w:rPr>
                <w:rFonts w:ascii="Tahoma" w:hAnsi="Tahoma" w:cs="Tahoma"/>
                <w:sz w:val="18"/>
                <w:szCs w:val="18"/>
                <w:lang w:val="el-GR"/>
              </w:rPr>
              <w:t xml:space="preserve">Υπεύθυνος Ποιότητας </w:t>
            </w:r>
          </w:p>
        </w:tc>
        <w:tc>
          <w:tcPr>
            <w:tcW w:w="1092" w:type="dxa"/>
            <w:vAlign w:val="center"/>
          </w:tcPr>
          <w:p w:rsidR="00A61711" w:rsidRPr="00AA1913" w:rsidRDefault="00A61711" w:rsidP="00A61711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ο3</w:t>
            </w:r>
          </w:p>
        </w:tc>
        <w:tc>
          <w:tcPr>
            <w:tcW w:w="2178" w:type="dxa"/>
            <w:vMerge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22" w:type="dxa"/>
            <w:vAlign w:val="center"/>
          </w:tcPr>
          <w:p w:rsidR="00A61711" w:rsidRPr="00AA1913" w:rsidRDefault="00A61711" w:rsidP="0019287B">
            <w:pPr>
              <w:spacing w:before="60" w:after="60" w:line="300" w:lineRule="atLeast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</w:tbl>
    <w:p w:rsidR="00AD1437" w:rsidRPr="0019287B" w:rsidRDefault="00AD1437" w:rsidP="009A258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13F00" w:rsidRPr="0019287B" w:rsidRDefault="00113F00" w:rsidP="009A2588">
      <w:pPr>
        <w:spacing w:line="360" w:lineRule="auto"/>
        <w:jc w:val="both"/>
        <w:rPr>
          <w:rFonts w:ascii="Tahoma" w:hAnsi="Tahoma" w:cs="Tahoma"/>
          <w:sz w:val="18"/>
          <w:szCs w:val="18"/>
          <w:lang w:val="el-GR"/>
        </w:rPr>
      </w:pPr>
      <w:bookmarkStart w:id="0" w:name="_GoBack"/>
      <w:bookmarkEnd w:id="0"/>
    </w:p>
    <w:sectPr w:rsidR="00113F00" w:rsidRPr="0019287B" w:rsidSect="00A729D2">
      <w:footerReference w:type="default" r:id="rId9"/>
      <w:pgSz w:w="11906" w:h="16838"/>
      <w:pgMar w:top="1440" w:right="1800" w:bottom="1440" w:left="1800" w:header="708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9D2" w:rsidRDefault="00A729D2" w:rsidP="00A729D2">
      <w:r>
        <w:separator/>
      </w:r>
    </w:p>
  </w:endnote>
  <w:endnote w:type="continuationSeparator" w:id="0">
    <w:p w:rsidR="00A729D2" w:rsidRDefault="00A729D2" w:rsidP="00A7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A729D2" w:rsidRPr="00662F0B" w:rsidTr="00913D30">
      <w:trPr>
        <w:jc w:val="center"/>
      </w:trPr>
      <w:tc>
        <w:tcPr>
          <w:tcW w:w="3383" w:type="dxa"/>
          <w:shd w:val="clear" w:color="auto" w:fill="auto"/>
        </w:tcPr>
        <w:p w:rsidR="00A729D2" w:rsidRPr="00662F0B" w:rsidRDefault="00A729D2" w:rsidP="00913D30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A729D2" w:rsidRPr="00CA318D" w:rsidRDefault="00A729D2" w:rsidP="00A729D2">
          <w:pPr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>30.10.</w:t>
          </w:r>
          <w:r>
            <w:rPr>
              <w:rFonts w:ascii="Tahoma" w:hAnsi="Tahoma" w:cs="Tahoma"/>
              <w:bCs/>
              <w:sz w:val="16"/>
              <w:szCs w:val="16"/>
            </w:rPr>
            <w:t>2015</w:t>
          </w:r>
        </w:p>
      </w:tc>
      <w:tc>
        <w:tcPr>
          <w:tcW w:w="2850" w:type="dxa"/>
          <w:shd w:val="clear" w:color="auto" w:fill="auto"/>
          <w:vAlign w:val="center"/>
        </w:tcPr>
        <w:p w:rsidR="00A729D2" w:rsidRPr="00662F0B" w:rsidRDefault="00A729D2" w:rsidP="00913D30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189" w:type="dxa"/>
          <w:shd w:val="clear" w:color="auto" w:fill="auto"/>
          <w:vAlign w:val="center"/>
        </w:tcPr>
        <w:p w:rsidR="00A729D2" w:rsidRPr="00662F0B" w:rsidRDefault="00A729D2" w:rsidP="00913D30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  <w:lang w:val="el-GR"/>
            </w:rPr>
            <w:drawing>
              <wp:inline distT="0" distB="0" distL="0" distR="0" wp14:anchorId="6F23B16D" wp14:editId="475A8A60">
                <wp:extent cx="619125" cy="371475"/>
                <wp:effectExtent l="0" t="0" r="9525" b="952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729D2" w:rsidRDefault="00A729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9D2" w:rsidRDefault="00A729D2" w:rsidP="00A729D2">
      <w:r>
        <w:separator/>
      </w:r>
    </w:p>
  </w:footnote>
  <w:footnote w:type="continuationSeparator" w:id="0">
    <w:p w:rsidR="00A729D2" w:rsidRDefault="00A729D2" w:rsidP="00A72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79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394EA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E4B2AD3"/>
    <w:multiLevelType w:val="hybridMultilevel"/>
    <w:tmpl w:val="ED28D6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30319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E781D0D"/>
    <w:multiLevelType w:val="hybridMultilevel"/>
    <w:tmpl w:val="5E86A88E"/>
    <w:lvl w:ilvl="0" w:tplc="012C362A">
      <w:numFmt w:val="bullet"/>
      <w:lvlText w:val="•"/>
      <w:lvlJc w:val="left"/>
      <w:pPr>
        <w:ind w:left="720" w:hanging="720"/>
      </w:pPr>
      <w:rPr>
        <w:rFonts w:ascii="Calibri" w:eastAsia="Times New Roman" w:hAnsi="Calibri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8A1219"/>
    <w:multiLevelType w:val="multilevel"/>
    <w:tmpl w:val="D96EE94C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18F005E"/>
    <w:multiLevelType w:val="hybridMultilevel"/>
    <w:tmpl w:val="5E9AABC6"/>
    <w:lvl w:ilvl="0" w:tplc="66F2DC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9307C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5546A58"/>
    <w:multiLevelType w:val="hybridMultilevel"/>
    <w:tmpl w:val="07408214"/>
    <w:lvl w:ilvl="0" w:tplc="C8144F04"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eastAsia="Times New Roman" w:hAnsi="Wingdings 3" w:cs="Aria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C7285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9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04"/>
    <w:rsid w:val="000D0065"/>
    <w:rsid w:val="000E04D9"/>
    <w:rsid w:val="00113F00"/>
    <w:rsid w:val="00114E04"/>
    <w:rsid w:val="0019287B"/>
    <w:rsid w:val="001A4A38"/>
    <w:rsid w:val="001D6CAC"/>
    <w:rsid w:val="002A49DE"/>
    <w:rsid w:val="00300BC7"/>
    <w:rsid w:val="00307DDC"/>
    <w:rsid w:val="003E2488"/>
    <w:rsid w:val="0049075F"/>
    <w:rsid w:val="004A5CCB"/>
    <w:rsid w:val="005C1489"/>
    <w:rsid w:val="00611581"/>
    <w:rsid w:val="0066368B"/>
    <w:rsid w:val="006F125C"/>
    <w:rsid w:val="007879B1"/>
    <w:rsid w:val="00792345"/>
    <w:rsid w:val="007A60F6"/>
    <w:rsid w:val="00831ABB"/>
    <w:rsid w:val="00846A27"/>
    <w:rsid w:val="00906C6A"/>
    <w:rsid w:val="0097500C"/>
    <w:rsid w:val="00990245"/>
    <w:rsid w:val="009A01D5"/>
    <w:rsid w:val="009A2588"/>
    <w:rsid w:val="009C1015"/>
    <w:rsid w:val="00A04387"/>
    <w:rsid w:val="00A27F60"/>
    <w:rsid w:val="00A61711"/>
    <w:rsid w:val="00A729D2"/>
    <w:rsid w:val="00AA1913"/>
    <w:rsid w:val="00AA4B16"/>
    <w:rsid w:val="00AC150E"/>
    <w:rsid w:val="00AD1437"/>
    <w:rsid w:val="00AD45B9"/>
    <w:rsid w:val="00B62AD9"/>
    <w:rsid w:val="00B82051"/>
    <w:rsid w:val="00BF4D0F"/>
    <w:rsid w:val="00CA6171"/>
    <w:rsid w:val="00D16BD6"/>
    <w:rsid w:val="00D5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E04"/>
    <w:rPr>
      <w:rFonts w:ascii="Arial" w:hAnsi="Arial" w:cs="Arial"/>
      <w:sz w:val="24"/>
      <w:lang w:val="en-US"/>
    </w:rPr>
  </w:style>
  <w:style w:type="paragraph" w:styleId="Heading1">
    <w:name w:val="heading 1"/>
    <w:basedOn w:val="Normal"/>
    <w:next w:val="Normal"/>
    <w:qFormat/>
    <w:rsid w:val="00114E04"/>
    <w:pPr>
      <w:keepNext/>
      <w:jc w:val="center"/>
      <w:outlineLvl w:val="0"/>
    </w:pPr>
    <w:rPr>
      <w:rFonts w:cs="Times New Roman"/>
      <w:b/>
      <w:sz w:val="28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14E04"/>
    <w:pPr>
      <w:jc w:val="both"/>
    </w:pPr>
    <w:rPr>
      <w:rFonts w:cs="Times New Roman"/>
      <w:lang w:val="el-GR"/>
    </w:rPr>
  </w:style>
  <w:style w:type="paragraph" w:customStyle="1" w:styleId="a">
    <w:name w:val="Óôõë ôïõ ÷ñÞóôç"/>
    <w:basedOn w:val="Normal"/>
    <w:rsid w:val="00114E04"/>
    <w:pPr>
      <w:autoSpaceDE w:val="0"/>
      <w:autoSpaceDN w:val="0"/>
      <w:adjustRightInd w:val="0"/>
      <w:spacing w:before="120" w:line="312" w:lineRule="auto"/>
      <w:jc w:val="both"/>
    </w:pPr>
    <w:rPr>
      <w:sz w:val="22"/>
      <w:szCs w:val="22"/>
      <w:lang w:val="el-GR"/>
    </w:rPr>
  </w:style>
  <w:style w:type="paragraph" w:styleId="BodyTextIndent">
    <w:name w:val="Body Text Indent"/>
    <w:basedOn w:val="Normal"/>
    <w:rsid w:val="00114E04"/>
    <w:pPr>
      <w:spacing w:line="360" w:lineRule="auto"/>
      <w:ind w:left="1202"/>
      <w:jc w:val="both"/>
    </w:pPr>
    <w:rPr>
      <w:sz w:val="22"/>
      <w:lang w:val="el-GR"/>
    </w:rPr>
  </w:style>
  <w:style w:type="paragraph" w:styleId="BodyText2">
    <w:name w:val="Body Text 2"/>
    <w:basedOn w:val="Normal"/>
    <w:rsid w:val="00114E04"/>
    <w:pPr>
      <w:spacing w:after="120" w:line="480" w:lineRule="auto"/>
    </w:pPr>
  </w:style>
  <w:style w:type="paragraph" w:customStyle="1" w:styleId="1">
    <w:name w:val="Παράγραφος λίστας1"/>
    <w:basedOn w:val="Normal"/>
    <w:rsid w:val="00906C6A"/>
    <w:pPr>
      <w:spacing w:after="200" w:line="276" w:lineRule="auto"/>
      <w:ind w:left="720"/>
    </w:pPr>
    <w:rPr>
      <w:rFonts w:ascii="Calibri" w:hAnsi="Calibri" w:cs="Calibri"/>
      <w:sz w:val="22"/>
      <w:szCs w:val="22"/>
      <w:lang w:val="el-GR" w:eastAsia="en-US"/>
    </w:rPr>
  </w:style>
  <w:style w:type="table" w:styleId="TableElegant">
    <w:name w:val="Table Elegant"/>
    <w:basedOn w:val="TableNormal"/>
    <w:rsid w:val="00113F0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4907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075F"/>
    <w:rPr>
      <w:rFonts w:ascii="Tahoma" w:hAnsi="Tahoma" w:cs="Tahoma"/>
      <w:sz w:val="16"/>
      <w:szCs w:val="16"/>
      <w:lang w:val="en-US"/>
    </w:rPr>
  </w:style>
  <w:style w:type="table" w:customStyle="1" w:styleId="10">
    <w:name w:val="Κομψός πίνακας1"/>
    <w:basedOn w:val="TableNormal"/>
    <w:next w:val="TableElegant"/>
    <w:rsid w:val="000D006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A729D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729D2"/>
    <w:rPr>
      <w:rFonts w:ascii="Arial" w:hAnsi="Arial" w:cs="Arial"/>
      <w:sz w:val="24"/>
      <w:lang w:val="en-US"/>
    </w:rPr>
  </w:style>
  <w:style w:type="paragraph" w:styleId="Footer">
    <w:name w:val="footer"/>
    <w:basedOn w:val="Normal"/>
    <w:link w:val="FooterChar"/>
    <w:rsid w:val="00A729D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729D2"/>
    <w:rPr>
      <w:rFonts w:ascii="Arial" w:hAnsi="Arial" w:cs="Arial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E04"/>
    <w:rPr>
      <w:rFonts w:ascii="Arial" w:hAnsi="Arial" w:cs="Arial"/>
      <w:sz w:val="24"/>
      <w:lang w:val="en-US"/>
    </w:rPr>
  </w:style>
  <w:style w:type="paragraph" w:styleId="Heading1">
    <w:name w:val="heading 1"/>
    <w:basedOn w:val="Normal"/>
    <w:next w:val="Normal"/>
    <w:qFormat/>
    <w:rsid w:val="00114E04"/>
    <w:pPr>
      <w:keepNext/>
      <w:jc w:val="center"/>
      <w:outlineLvl w:val="0"/>
    </w:pPr>
    <w:rPr>
      <w:rFonts w:cs="Times New Roman"/>
      <w:b/>
      <w:sz w:val="28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14E04"/>
    <w:pPr>
      <w:jc w:val="both"/>
    </w:pPr>
    <w:rPr>
      <w:rFonts w:cs="Times New Roman"/>
      <w:lang w:val="el-GR"/>
    </w:rPr>
  </w:style>
  <w:style w:type="paragraph" w:customStyle="1" w:styleId="a">
    <w:name w:val="Óôõë ôïõ ÷ñÞóôç"/>
    <w:basedOn w:val="Normal"/>
    <w:rsid w:val="00114E04"/>
    <w:pPr>
      <w:autoSpaceDE w:val="0"/>
      <w:autoSpaceDN w:val="0"/>
      <w:adjustRightInd w:val="0"/>
      <w:spacing w:before="120" w:line="312" w:lineRule="auto"/>
      <w:jc w:val="both"/>
    </w:pPr>
    <w:rPr>
      <w:sz w:val="22"/>
      <w:szCs w:val="22"/>
      <w:lang w:val="el-GR"/>
    </w:rPr>
  </w:style>
  <w:style w:type="paragraph" w:styleId="BodyTextIndent">
    <w:name w:val="Body Text Indent"/>
    <w:basedOn w:val="Normal"/>
    <w:rsid w:val="00114E04"/>
    <w:pPr>
      <w:spacing w:line="360" w:lineRule="auto"/>
      <w:ind w:left="1202"/>
      <w:jc w:val="both"/>
    </w:pPr>
    <w:rPr>
      <w:sz w:val="22"/>
      <w:lang w:val="el-GR"/>
    </w:rPr>
  </w:style>
  <w:style w:type="paragraph" w:styleId="BodyText2">
    <w:name w:val="Body Text 2"/>
    <w:basedOn w:val="Normal"/>
    <w:rsid w:val="00114E04"/>
    <w:pPr>
      <w:spacing w:after="120" w:line="480" w:lineRule="auto"/>
    </w:pPr>
  </w:style>
  <w:style w:type="paragraph" w:customStyle="1" w:styleId="1">
    <w:name w:val="Παράγραφος λίστας1"/>
    <w:basedOn w:val="Normal"/>
    <w:rsid w:val="00906C6A"/>
    <w:pPr>
      <w:spacing w:after="200" w:line="276" w:lineRule="auto"/>
      <w:ind w:left="720"/>
    </w:pPr>
    <w:rPr>
      <w:rFonts w:ascii="Calibri" w:hAnsi="Calibri" w:cs="Calibri"/>
      <w:sz w:val="22"/>
      <w:szCs w:val="22"/>
      <w:lang w:val="el-GR" w:eastAsia="en-US"/>
    </w:rPr>
  </w:style>
  <w:style w:type="table" w:styleId="TableElegant">
    <w:name w:val="Table Elegant"/>
    <w:basedOn w:val="TableNormal"/>
    <w:rsid w:val="00113F0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4907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075F"/>
    <w:rPr>
      <w:rFonts w:ascii="Tahoma" w:hAnsi="Tahoma" w:cs="Tahoma"/>
      <w:sz w:val="16"/>
      <w:szCs w:val="16"/>
      <w:lang w:val="en-US"/>
    </w:rPr>
  </w:style>
  <w:style w:type="table" w:customStyle="1" w:styleId="10">
    <w:name w:val="Κομψός πίνακας1"/>
    <w:basedOn w:val="TableNormal"/>
    <w:next w:val="TableElegant"/>
    <w:rsid w:val="000D006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A729D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729D2"/>
    <w:rPr>
      <w:rFonts w:ascii="Arial" w:hAnsi="Arial" w:cs="Arial"/>
      <w:sz w:val="24"/>
      <w:lang w:val="en-US"/>
    </w:rPr>
  </w:style>
  <w:style w:type="paragraph" w:styleId="Footer">
    <w:name w:val="footer"/>
    <w:basedOn w:val="Normal"/>
    <w:link w:val="FooterChar"/>
    <w:rsid w:val="00A729D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729D2"/>
    <w:rPr>
      <w:rFonts w:ascii="Arial" w:hAnsi="Arial" w:cs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3C92-0F04-44CF-9998-75E653C4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140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Το παρόν τεύχος περιλαμβάνει την αποτύπωση των περιγραμμάτων θέσεων εργασίας για τις ΕΥΔ των ΠΕΠ της ΠΠ 2014 – 2020 οι οποίες συστάθηκαν με σκοπό την άσκηση αρμοδιοτήτων διαχείρισης (άρθρα 3, 4 και 36, Ν</vt:lpstr>
      <vt:lpstr>Το παρόν τεύχος περιλαμβάνει την αποτύπωση των περιγραμμάτων θέσεων εργασίας για τις ΕΥΔ των ΠΕΠ της ΠΠ 2014 – 2020 οι οποίες συστάθηκαν με σκοπό την άσκηση αρμοδιοτήτων διαχείρισης (άρθρα 3, 4 και 36, Ν</vt:lpstr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Το παρόν τεύχος περιλαμβάνει την αποτύπωση των περιγραμμάτων θέσεων εργασίας για τις ΕΥΔ των ΠΕΠ της ΠΠ 2014 – 2020 οι οποίες συστάθηκαν με σκοπό την άσκηση αρμοδιοτήτων διαχείρισης (άρθρα 3, 4 και 36, Ν</dc:title>
  <dc:creator>Xpuser</dc:creator>
  <cp:lastModifiedBy>dbrillaki</cp:lastModifiedBy>
  <cp:revision>18</cp:revision>
  <cp:lastPrinted>2015-09-28T12:10:00Z</cp:lastPrinted>
  <dcterms:created xsi:type="dcterms:W3CDTF">2015-05-25T11:04:00Z</dcterms:created>
  <dcterms:modified xsi:type="dcterms:W3CDTF">2015-11-06T15:23:00Z</dcterms:modified>
</cp:coreProperties>
</file>